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73A18" w14:textId="2235754D"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9343A9">
        <w:t>93</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8F1C4E">
        <w:rPr>
          <w:sz w:val="32"/>
          <w:szCs w:val="32"/>
        </w:rPr>
        <w:t>8</w:t>
      </w:r>
      <w:r w:rsidR="003D7C60" w:rsidRPr="003D7C60">
        <w:rPr>
          <w:sz w:val="32"/>
          <w:szCs w:val="32"/>
        </w:rPr>
        <w:t>07260</w:t>
      </w:r>
    </w:p>
    <w:p w14:paraId="152565B8" w14:textId="77777777" w:rsidR="009343A9" w:rsidRPr="005B5E25" w:rsidRDefault="009343A9" w:rsidP="009343A9">
      <w:pPr>
        <w:pStyle w:val="3GPPHeader"/>
      </w:pPr>
      <w:r w:rsidRPr="005B5E25">
        <w:t>Busan, Korea, May 21st – 25th 2018</w:t>
      </w:r>
    </w:p>
    <w:p w14:paraId="3EDAD12D" w14:textId="57966502" w:rsidR="00E90E49" w:rsidRPr="007D2732" w:rsidRDefault="00E90E49" w:rsidP="00311702">
      <w:pPr>
        <w:pStyle w:val="3GPPHeader"/>
        <w:rPr>
          <w:sz w:val="22"/>
          <w:szCs w:val="22"/>
          <w:lang w:val="en-US"/>
        </w:rPr>
      </w:pPr>
      <w:r w:rsidRPr="007D2732">
        <w:rPr>
          <w:sz w:val="22"/>
          <w:szCs w:val="22"/>
          <w:lang w:val="en-US"/>
        </w:rPr>
        <w:t>Agenda Item:</w:t>
      </w:r>
      <w:r w:rsidRPr="007D2732">
        <w:rPr>
          <w:sz w:val="22"/>
          <w:szCs w:val="22"/>
          <w:lang w:val="en-US"/>
        </w:rPr>
        <w:tab/>
      </w:r>
      <w:r w:rsidR="007D2732" w:rsidRPr="007D2732">
        <w:rPr>
          <w:sz w:val="22"/>
          <w:szCs w:val="22"/>
          <w:lang w:val="en-US"/>
        </w:rPr>
        <w:t>7.1.3.3.6</w:t>
      </w:r>
    </w:p>
    <w:p w14:paraId="6B97902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081013B" w14:textId="5EA02379" w:rsidR="00E90E49" w:rsidRPr="00CE0424" w:rsidRDefault="003D3C45" w:rsidP="00311702">
      <w:pPr>
        <w:pStyle w:val="3GPPHeader"/>
        <w:rPr>
          <w:sz w:val="22"/>
          <w:szCs w:val="22"/>
        </w:rPr>
      </w:pPr>
      <w:r>
        <w:rPr>
          <w:sz w:val="22"/>
          <w:szCs w:val="22"/>
        </w:rPr>
        <w:t>Title:</w:t>
      </w:r>
      <w:r w:rsidR="00E90E49" w:rsidRPr="00CE0424">
        <w:rPr>
          <w:sz w:val="22"/>
          <w:szCs w:val="22"/>
        </w:rPr>
        <w:tab/>
      </w:r>
      <w:r w:rsidR="007D2732">
        <w:rPr>
          <w:sz w:val="22"/>
          <w:szCs w:val="22"/>
        </w:rPr>
        <w:t>On multiplexing data with different transmission durations</w:t>
      </w:r>
    </w:p>
    <w:p w14:paraId="6018F399" w14:textId="77777777" w:rsidR="00E90E49" w:rsidRPr="00CE0424" w:rsidRDefault="00E90E49" w:rsidP="00D546FF">
      <w:pPr>
        <w:pStyle w:val="3GPPHeader"/>
        <w:rPr>
          <w:sz w:val="22"/>
          <w:szCs w:val="22"/>
        </w:rPr>
      </w:pPr>
      <w:r w:rsidRPr="000653B0">
        <w:rPr>
          <w:sz w:val="22"/>
          <w:szCs w:val="22"/>
        </w:rPr>
        <w:t>Document for:</w:t>
      </w:r>
      <w:r w:rsidRPr="000653B0">
        <w:rPr>
          <w:sz w:val="22"/>
          <w:szCs w:val="22"/>
        </w:rPr>
        <w:tab/>
        <w:t>Discussion, Decision</w:t>
      </w:r>
    </w:p>
    <w:p w14:paraId="73592EC2" w14:textId="0A698987" w:rsidR="00E90E49" w:rsidRDefault="00230D18" w:rsidP="00CE0424">
      <w:pPr>
        <w:pStyle w:val="Heading1"/>
      </w:pPr>
      <w:r>
        <w:t>1</w:t>
      </w:r>
      <w:r>
        <w:tab/>
      </w:r>
      <w:r w:rsidR="00E90E49" w:rsidRPr="00CE0424">
        <w:t>Introduction</w:t>
      </w:r>
    </w:p>
    <w:p w14:paraId="5987E8A4" w14:textId="2AF753AD" w:rsidR="00BB4F4D" w:rsidRPr="000653B0" w:rsidRDefault="00BB4F4D" w:rsidP="00BB4F4D">
      <w:pPr>
        <w:pStyle w:val="Observation"/>
        <w:numPr>
          <w:ilvl w:val="0"/>
          <w:numId w:val="0"/>
        </w:numPr>
        <w:ind w:left="1701" w:hanging="1701"/>
        <w:rPr>
          <w:rFonts w:cs="Arial"/>
          <w:b w:val="0"/>
        </w:rPr>
      </w:pPr>
      <w:bookmarkStart w:id="0" w:name="_Toc497903691"/>
      <w:r w:rsidRPr="000653B0">
        <w:rPr>
          <w:rFonts w:cs="Arial"/>
          <w:b w:val="0"/>
        </w:rPr>
        <w:t>In RAN1#91 the following agreements on DL Pre-emption indication were reached:</w:t>
      </w:r>
      <w:bookmarkEnd w:id="0"/>
    </w:p>
    <w:p w14:paraId="4DF4B4E4" w14:textId="77777777" w:rsidR="00BB4F4D" w:rsidRPr="000653B0" w:rsidRDefault="00BB4F4D" w:rsidP="00BB4F4D">
      <w:pPr>
        <w:ind w:left="1440" w:hanging="1440"/>
        <w:rPr>
          <w:rFonts w:ascii="Arial" w:hAnsi="Arial" w:cs="Arial"/>
          <w:b/>
          <w:lang w:eastAsia="x-none"/>
        </w:rPr>
      </w:pPr>
      <w:r w:rsidRPr="000653B0">
        <w:rPr>
          <w:rFonts w:ascii="Arial" w:hAnsi="Arial" w:cs="Arial"/>
          <w:highlight w:val="green"/>
          <w:lang w:eastAsia="x-none"/>
        </w:rPr>
        <w:t>Agreements</w:t>
      </w:r>
      <w:r w:rsidRPr="000653B0">
        <w:rPr>
          <w:rFonts w:ascii="Arial" w:hAnsi="Arial" w:cs="Arial"/>
          <w:b/>
          <w:lang w:eastAsia="x-none"/>
        </w:rPr>
        <w:t>:</w:t>
      </w:r>
    </w:p>
    <w:p w14:paraId="3FCC7C73" w14:textId="77777777" w:rsidR="00BB4F4D" w:rsidRPr="000653B0" w:rsidRDefault="00BB4F4D" w:rsidP="00BB4F4D">
      <w:pPr>
        <w:numPr>
          <w:ilvl w:val="0"/>
          <w:numId w:val="24"/>
        </w:numPr>
        <w:overflowPunct/>
        <w:autoSpaceDE/>
        <w:autoSpaceDN/>
        <w:adjustRightInd/>
        <w:spacing w:after="40"/>
        <w:textAlignment w:val="auto"/>
        <w:rPr>
          <w:rFonts w:ascii="Arial" w:eastAsia="SimSun" w:hAnsi="Arial" w:cs="Arial"/>
        </w:rPr>
      </w:pPr>
      <w:r w:rsidRPr="000653B0">
        <w:rPr>
          <w:rFonts w:ascii="Arial" w:hAnsi="Arial" w:cs="Arial"/>
        </w:rPr>
        <w:t>Within a PUCCH group, UE can be configured to monito</w:t>
      </w:r>
      <w:r w:rsidRPr="000653B0">
        <w:rPr>
          <w:rFonts w:ascii="Arial" w:eastAsia="SimSun" w:hAnsi="Arial" w:cs="Arial"/>
        </w:rPr>
        <w:t>r</w:t>
      </w:r>
      <w:r w:rsidRPr="000653B0">
        <w:rPr>
          <w:rFonts w:ascii="Arial" w:hAnsi="Arial" w:cs="Arial"/>
        </w:rPr>
        <w:t xml:space="preserve"> group common PDCCH </w:t>
      </w:r>
      <w:r w:rsidRPr="000653B0">
        <w:rPr>
          <w:rFonts w:ascii="Arial" w:eastAsia="SimSun" w:hAnsi="Arial" w:cs="Arial"/>
        </w:rPr>
        <w:t xml:space="preserve">for pre-emption indication </w:t>
      </w:r>
      <w:r w:rsidRPr="000653B0">
        <w:rPr>
          <w:rFonts w:ascii="Arial" w:hAnsi="Arial" w:cs="Arial"/>
        </w:rPr>
        <w:t xml:space="preserve">for a </w:t>
      </w:r>
      <w:proofErr w:type="spellStart"/>
      <w:r w:rsidRPr="000653B0">
        <w:rPr>
          <w:rFonts w:ascii="Arial" w:hAnsi="Arial" w:cs="Arial"/>
        </w:rPr>
        <w:t>Scell</w:t>
      </w:r>
      <w:proofErr w:type="spellEnd"/>
      <w:r w:rsidRPr="000653B0">
        <w:rPr>
          <w:rFonts w:ascii="Arial" w:hAnsi="Arial" w:cs="Arial"/>
        </w:rPr>
        <w:t xml:space="preserve"> on a different </w:t>
      </w:r>
      <w:r w:rsidRPr="000653B0">
        <w:rPr>
          <w:rFonts w:ascii="Arial" w:eastAsia="SimSun" w:hAnsi="Arial" w:cs="Arial"/>
        </w:rPr>
        <w:t xml:space="preserve">serving </w:t>
      </w:r>
      <w:r w:rsidRPr="000653B0">
        <w:rPr>
          <w:rFonts w:ascii="Arial" w:hAnsi="Arial" w:cs="Arial"/>
        </w:rPr>
        <w:t>cell</w:t>
      </w:r>
    </w:p>
    <w:p w14:paraId="22CF17A7" w14:textId="77777777" w:rsidR="00BB4F4D" w:rsidRPr="000653B0" w:rsidRDefault="00BB4F4D" w:rsidP="00BB4F4D">
      <w:pPr>
        <w:numPr>
          <w:ilvl w:val="3"/>
          <w:numId w:val="24"/>
        </w:numPr>
        <w:spacing w:after="40"/>
        <w:rPr>
          <w:rFonts w:ascii="Arial" w:hAnsi="Arial" w:cs="Arial"/>
        </w:rPr>
      </w:pPr>
      <w:r w:rsidRPr="000653B0">
        <w:rPr>
          <w:rFonts w:ascii="Arial" w:eastAsia="SimSun" w:hAnsi="Arial" w:cs="Arial"/>
        </w:rPr>
        <w:t>One DCI can contain one or more pre-emption indication field(s) corresponding one or more serving cells</w:t>
      </w:r>
    </w:p>
    <w:p w14:paraId="7DCB2D44" w14:textId="77777777" w:rsidR="00BB4F4D" w:rsidRPr="000653B0" w:rsidRDefault="00BB4F4D" w:rsidP="00BB4F4D">
      <w:pPr>
        <w:numPr>
          <w:ilvl w:val="4"/>
          <w:numId w:val="24"/>
        </w:numPr>
        <w:spacing w:after="40"/>
        <w:rPr>
          <w:rFonts w:ascii="Arial" w:hAnsi="Arial" w:cs="Arial"/>
        </w:rPr>
      </w:pPr>
      <w:r w:rsidRPr="000653B0">
        <w:rPr>
          <w:rFonts w:ascii="Arial" w:eastAsia="SimSun" w:hAnsi="Arial" w:cs="Arial"/>
        </w:rPr>
        <w:t>Each field (14bits bitmap) for one serving cell</w:t>
      </w:r>
    </w:p>
    <w:p w14:paraId="76949478" w14:textId="77777777" w:rsidR="00BB4F4D" w:rsidRPr="000653B0" w:rsidRDefault="00BB4F4D" w:rsidP="00BB4F4D">
      <w:pPr>
        <w:numPr>
          <w:ilvl w:val="3"/>
          <w:numId w:val="24"/>
        </w:numPr>
        <w:spacing w:after="40"/>
        <w:rPr>
          <w:rFonts w:ascii="Arial" w:hAnsi="Arial" w:cs="Arial"/>
        </w:rPr>
      </w:pPr>
      <w:r w:rsidRPr="000653B0">
        <w:rPr>
          <w:rFonts w:ascii="Arial" w:eastAsia="SimSun" w:hAnsi="Arial" w:cs="Arial"/>
        </w:rPr>
        <w:t>RRC configures the PI field location in the DCI format that is applied to that cell</w:t>
      </w:r>
    </w:p>
    <w:p w14:paraId="3D10A8B8" w14:textId="77777777" w:rsidR="00BB4F4D" w:rsidRPr="000653B0" w:rsidRDefault="00BB4F4D" w:rsidP="00BB4F4D">
      <w:pPr>
        <w:numPr>
          <w:ilvl w:val="0"/>
          <w:numId w:val="24"/>
        </w:numPr>
        <w:overflowPunct/>
        <w:autoSpaceDE/>
        <w:autoSpaceDN/>
        <w:adjustRightInd/>
        <w:spacing w:after="40"/>
        <w:textAlignment w:val="auto"/>
        <w:rPr>
          <w:rFonts w:ascii="Arial" w:eastAsia="SimSun" w:hAnsi="Arial" w:cs="Arial"/>
        </w:rPr>
      </w:pPr>
      <w:r w:rsidRPr="000653B0">
        <w:rPr>
          <w:rFonts w:ascii="Arial" w:eastAsia="SimSun" w:hAnsi="Arial" w:cs="Arial"/>
        </w:rPr>
        <w:t xml:space="preserve">No </w:t>
      </w:r>
      <w:proofErr w:type="spellStart"/>
      <w:r w:rsidRPr="000653B0">
        <w:rPr>
          <w:rFonts w:ascii="Arial" w:eastAsia="SimSun" w:hAnsi="Arial" w:cs="Arial"/>
        </w:rPr>
        <w:t>concensus</w:t>
      </w:r>
      <w:proofErr w:type="spellEnd"/>
      <w:r w:rsidRPr="000653B0">
        <w:rPr>
          <w:rFonts w:ascii="Arial" w:eastAsia="SimSun" w:hAnsi="Arial" w:cs="Arial"/>
        </w:rPr>
        <w:t xml:space="preserve"> to support mini-slot level monitoring periodicity of </w:t>
      </w:r>
      <w:proofErr w:type="spellStart"/>
      <w:r w:rsidRPr="000653B0">
        <w:rPr>
          <w:rFonts w:ascii="Arial" w:eastAsia="SimSun" w:hAnsi="Arial" w:cs="Arial"/>
        </w:rPr>
        <w:t>preemption</w:t>
      </w:r>
      <w:proofErr w:type="spellEnd"/>
      <w:r w:rsidRPr="000653B0">
        <w:rPr>
          <w:rFonts w:ascii="Arial" w:eastAsia="SimSun" w:hAnsi="Arial" w:cs="Arial"/>
        </w:rPr>
        <w:t xml:space="preserve"> indication in RAN1#91</w:t>
      </w:r>
    </w:p>
    <w:p w14:paraId="43256EB0" w14:textId="77777777" w:rsidR="00BB4F4D" w:rsidRPr="000653B0" w:rsidRDefault="00BB4F4D" w:rsidP="00BB4F4D">
      <w:pPr>
        <w:numPr>
          <w:ilvl w:val="0"/>
          <w:numId w:val="24"/>
        </w:numPr>
        <w:overflowPunct/>
        <w:autoSpaceDE/>
        <w:autoSpaceDN/>
        <w:adjustRightInd/>
        <w:spacing w:after="40"/>
        <w:textAlignment w:val="auto"/>
        <w:rPr>
          <w:rFonts w:ascii="Arial" w:eastAsia="SimSun" w:hAnsi="Arial" w:cs="Arial"/>
        </w:rPr>
      </w:pPr>
      <w:r w:rsidRPr="000653B0">
        <w:rPr>
          <w:rFonts w:ascii="Arial" w:eastAsia="SimSun" w:hAnsi="Arial" w:cs="Arial"/>
        </w:rPr>
        <w:t>Confirm the following working assumption in RAN1#90bis</w:t>
      </w:r>
    </w:p>
    <w:p w14:paraId="0E143998" w14:textId="77777777" w:rsidR="00BB4F4D" w:rsidRPr="000653B0" w:rsidRDefault="00BB4F4D" w:rsidP="00BB4F4D">
      <w:pPr>
        <w:numPr>
          <w:ilvl w:val="1"/>
          <w:numId w:val="24"/>
        </w:numPr>
        <w:overflowPunct/>
        <w:autoSpaceDE/>
        <w:autoSpaceDN/>
        <w:adjustRightInd/>
        <w:spacing w:after="40"/>
        <w:textAlignment w:val="auto"/>
        <w:rPr>
          <w:rFonts w:ascii="Arial" w:eastAsia="SimSun" w:hAnsi="Arial" w:cs="Arial"/>
        </w:rPr>
      </w:pPr>
      <w:r w:rsidRPr="000653B0">
        <w:rPr>
          <w:rFonts w:ascii="Arial" w:eastAsia="SimSun" w:hAnsi="Arial" w:cs="Arial"/>
        </w:rPr>
        <w:t>T</w:t>
      </w:r>
      <w:r w:rsidRPr="000653B0">
        <w:rPr>
          <w:rFonts w:ascii="Arial" w:hAnsi="Arial" w:cs="Arial"/>
        </w:rPr>
        <w:t>he frequency region of the reference downlink resource for pre-emption indication is the active DL BWP</w:t>
      </w:r>
    </w:p>
    <w:p w14:paraId="38F24606" w14:textId="77777777" w:rsidR="00BB4F4D" w:rsidRPr="000653B0" w:rsidRDefault="00BB4F4D" w:rsidP="00BB4F4D">
      <w:pPr>
        <w:numPr>
          <w:ilvl w:val="0"/>
          <w:numId w:val="24"/>
        </w:numPr>
        <w:overflowPunct/>
        <w:autoSpaceDE/>
        <w:autoSpaceDN/>
        <w:adjustRightInd/>
        <w:spacing w:after="40"/>
        <w:textAlignment w:val="auto"/>
        <w:rPr>
          <w:rFonts w:ascii="Arial" w:eastAsia="SimSun" w:hAnsi="Arial" w:cs="Arial"/>
        </w:rPr>
      </w:pPr>
      <w:r w:rsidRPr="000653B0">
        <w:rPr>
          <w:rFonts w:ascii="Arial" w:eastAsia="SimSun" w:hAnsi="Arial" w:cs="Arial"/>
        </w:rPr>
        <w:t xml:space="preserve">Configuration of UE monitoring of </w:t>
      </w:r>
      <w:proofErr w:type="spellStart"/>
      <w:r w:rsidRPr="000653B0">
        <w:rPr>
          <w:rFonts w:ascii="Arial" w:eastAsia="SimSun" w:hAnsi="Arial" w:cs="Arial"/>
        </w:rPr>
        <w:t>preemption</w:t>
      </w:r>
      <w:proofErr w:type="spellEnd"/>
      <w:r w:rsidRPr="000653B0">
        <w:rPr>
          <w:rFonts w:ascii="Arial" w:eastAsia="SimSun" w:hAnsi="Arial" w:cs="Arial"/>
        </w:rPr>
        <w:t xml:space="preserve"> indication is per DL BWP</w:t>
      </w:r>
    </w:p>
    <w:p w14:paraId="41752ACC" w14:textId="77777777" w:rsidR="00BB4F4D" w:rsidRPr="000653B0" w:rsidRDefault="00BB4F4D" w:rsidP="00BB4F4D">
      <w:pPr>
        <w:pStyle w:val="ListParagraph"/>
        <w:numPr>
          <w:ilvl w:val="0"/>
          <w:numId w:val="26"/>
        </w:numPr>
        <w:overflowPunct/>
        <w:autoSpaceDE/>
        <w:autoSpaceDN/>
        <w:adjustRightInd/>
        <w:spacing w:after="40"/>
        <w:textAlignment w:val="auto"/>
        <w:rPr>
          <w:rFonts w:ascii="Arial" w:hAnsi="Arial" w:cs="Arial"/>
          <w:sz w:val="20"/>
          <w:szCs w:val="20"/>
        </w:rPr>
      </w:pPr>
      <w:r w:rsidRPr="000653B0">
        <w:rPr>
          <w:rFonts w:ascii="Arial" w:hAnsi="Arial" w:cs="Arial"/>
          <w:sz w:val="20"/>
          <w:szCs w:val="20"/>
        </w:rPr>
        <w:t>For the bitmap indication, the time-frequency blocks of the reference DL resource determined by {M, N} ({M, N}={14, 1}, {7, 2} ) are indexed in frequency first manner</w:t>
      </w:r>
    </w:p>
    <w:p w14:paraId="46F7AD0D" w14:textId="77777777" w:rsidR="00BB4F4D" w:rsidRPr="000653B0" w:rsidRDefault="00BB4F4D" w:rsidP="00BB4F4D">
      <w:pPr>
        <w:pStyle w:val="ListParagraph"/>
        <w:numPr>
          <w:ilvl w:val="1"/>
          <w:numId w:val="26"/>
        </w:numPr>
        <w:overflowPunct/>
        <w:autoSpaceDE/>
        <w:autoSpaceDN/>
        <w:adjustRightInd/>
        <w:spacing w:after="40"/>
        <w:textAlignment w:val="auto"/>
        <w:rPr>
          <w:rFonts w:ascii="Arial" w:hAnsi="Arial" w:cs="Arial"/>
          <w:sz w:val="20"/>
          <w:szCs w:val="20"/>
        </w:rPr>
      </w:pPr>
      <w:r w:rsidRPr="000653B0">
        <w:rPr>
          <w:rFonts w:ascii="Arial" w:hAnsi="Arial" w:cs="Arial"/>
          <w:sz w:val="20"/>
          <w:szCs w:val="20"/>
        </w:rPr>
        <w:t xml:space="preserve">Note: The reference DL resource is partitioned with M time domain parts and N frequency domain parts. </w:t>
      </w:r>
    </w:p>
    <w:p w14:paraId="26B69681" w14:textId="77777777" w:rsidR="00BB4F4D" w:rsidRPr="000653B0" w:rsidRDefault="00BB4F4D" w:rsidP="00BB4F4D">
      <w:pPr>
        <w:numPr>
          <w:ilvl w:val="1"/>
          <w:numId w:val="26"/>
        </w:numPr>
        <w:overflowPunct/>
        <w:autoSpaceDE/>
        <w:autoSpaceDN/>
        <w:adjustRightInd/>
        <w:spacing w:after="40"/>
        <w:textAlignment w:val="auto"/>
        <w:rPr>
          <w:rFonts w:ascii="Arial" w:hAnsi="Arial" w:cs="Arial"/>
        </w:rPr>
      </w:pPr>
      <w:r w:rsidRPr="000653B0">
        <w:rPr>
          <w:rFonts w:ascii="Arial" w:hAnsi="Arial" w:cs="Arial"/>
        </w:rPr>
        <w:t>Note: Current TS38.213 needs to be updated according to the above agreement.</w:t>
      </w:r>
    </w:p>
    <w:p w14:paraId="45B890FB" w14:textId="77777777" w:rsidR="00BB4F4D" w:rsidRPr="000653B0" w:rsidRDefault="00BB4F4D" w:rsidP="00BB4F4D">
      <w:pPr>
        <w:pStyle w:val="ListParagraph"/>
        <w:numPr>
          <w:ilvl w:val="0"/>
          <w:numId w:val="27"/>
        </w:numPr>
        <w:overflowPunct/>
        <w:autoSpaceDE/>
        <w:autoSpaceDN/>
        <w:adjustRightInd/>
        <w:spacing w:after="40"/>
        <w:textAlignment w:val="auto"/>
        <w:rPr>
          <w:rFonts w:ascii="Arial" w:hAnsi="Arial" w:cs="Arial"/>
          <w:sz w:val="20"/>
          <w:szCs w:val="20"/>
        </w:rPr>
      </w:pPr>
      <w:r w:rsidRPr="000653B0">
        <w:rPr>
          <w:rFonts w:ascii="Arial" w:hAnsi="Arial" w:cs="Arial"/>
          <w:sz w:val="20"/>
          <w:szCs w:val="20"/>
        </w:rPr>
        <w:t>When a PI is detected, the time location of the corresponding reference DL resource (RDR) is determined by:</w:t>
      </w:r>
    </w:p>
    <w:p w14:paraId="549EB6E9" w14:textId="77777777" w:rsidR="00BB4F4D" w:rsidRPr="000653B0" w:rsidRDefault="00BB4F4D" w:rsidP="00BB4F4D">
      <w:pPr>
        <w:pStyle w:val="ListParagraph"/>
        <w:numPr>
          <w:ilvl w:val="1"/>
          <w:numId w:val="27"/>
        </w:numPr>
        <w:overflowPunct/>
        <w:autoSpaceDE/>
        <w:autoSpaceDN/>
        <w:adjustRightInd/>
        <w:spacing w:after="40"/>
        <w:textAlignment w:val="auto"/>
        <w:rPr>
          <w:rFonts w:ascii="Arial" w:hAnsi="Arial" w:cs="Arial"/>
          <w:sz w:val="20"/>
          <w:szCs w:val="20"/>
        </w:rPr>
      </w:pPr>
      <w:r w:rsidRPr="000653B0">
        <w:rPr>
          <w:rFonts w:ascii="Arial" w:hAnsi="Arial" w:cs="Arial"/>
          <w:sz w:val="20"/>
          <w:szCs w:val="20"/>
        </w:rPr>
        <w:t>The RDR starts at the 1</w:t>
      </w:r>
      <w:r w:rsidRPr="000653B0">
        <w:rPr>
          <w:rFonts w:ascii="Arial" w:hAnsi="Arial" w:cs="Arial"/>
          <w:sz w:val="20"/>
          <w:szCs w:val="20"/>
          <w:vertAlign w:val="superscript"/>
        </w:rPr>
        <w:t>st</w:t>
      </w:r>
      <w:r w:rsidRPr="000653B0">
        <w:rPr>
          <w:rFonts w:ascii="Arial" w:hAnsi="Arial" w:cs="Arial"/>
          <w:sz w:val="20"/>
          <w:szCs w:val="20"/>
        </w:rPr>
        <w:t xml:space="preserve"> symbol of the previous CORESET for PI monitoring and ends right before the current CORESET at which the PI is detected. </w:t>
      </w:r>
    </w:p>
    <w:p w14:paraId="67DBFEA8" w14:textId="77777777" w:rsidR="00BB4F4D" w:rsidRPr="000653B0" w:rsidRDefault="00BB4F4D" w:rsidP="00BB4F4D">
      <w:pPr>
        <w:pStyle w:val="ListParagraph"/>
        <w:numPr>
          <w:ilvl w:val="0"/>
          <w:numId w:val="25"/>
        </w:numPr>
        <w:overflowPunct/>
        <w:autoSpaceDE/>
        <w:autoSpaceDN/>
        <w:adjustRightInd/>
        <w:spacing w:after="40"/>
        <w:textAlignment w:val="auto"/>
        <w:rPr>
          <w:rFonts w:ascii="Arial" w:hAnsi="Arial" w:cs="Arial"/>
          <w:sz w:val="20"/>
          <w:szCs w:val="20"/>
        </w:rPr>
      </w:pPr>
      <w:r w:rsidRPr="000653B0">
        <w:rPr>
          <w:rFonts w:ascii="Arial" w:hAnsi="Arial" w:cs="Arial"/>
          <w:sz w:val="20"/>
          <w:szCs w:val="20"/>
        </w:rPr>
        <w:t>The UE is not expected to take into account a PI detected in a BWP for a PDSCH scheduled in a different BWP of the same serving cell.</w:t>
      </w:r>
    </w:p>
    <w:p w14:paraId="7DC55017" w14:textId="77777777" w:rsidR="00BB4F4D" w:rsidRPr="000653B0" w:rsidRDefault="00BB4F4D" w:rsidP="00BB4F4D">
      <w:pPr>
        <w:pStyle w:val="ListParagraph"/>
        <w:numPr>
          <w:ilvl w:val="0"/>
          <w:numId w:val="25"/>
        </w:numPr>
        <w:overflowPunct/>
        <w:autoSpaceDE/>
        <w:autoSpaceDN/>
        <w:adjustRightInd/>
        <w:spacing w:after="40"/>
        <w:textAlignment w:val="auto"/>
        <w:rPr>
          <w:rFonts w:ascii="Arial" w:hAnsi="Arial" w:cs="Arial"/>
          <w:sz w:val="20"/>
          <w:szCs w:val="20"/>
        </w:rPr>
      </w:pPr>
    </w:p>
    <w:p w14:paraId="159E7320" w14:textId="77777777" w:rsidR="00BB4F4D" w:rsidRPr="000653B0" w:rsidRDefault="00BB4F4D" w:rsidP="00BB4F4D">
      <w:pPr>
        <w:rPr>
          <w:rFonts w:ascii="Arial" w:hAnsi="Arial" w:cs="Arial"/>
          <w:highlight w:val="green"/>
          <w:lang w:eastAsia="x-none"/>
        </w:rPr>
      </w:pPr>
      <w:proofErr w:type="gramStart"/>
      <w:r w:rsidRPr="000653B0">
        <w:rPr>
          <w:rFonts w:ascii="Arial" w:hAnsi="Arial" w:cs="Arial"/>
        </w:rPr>
        <w:t>Also</w:t>
      </w:r>
      <w:proofErr w:type="gramEnd"/>
      <w:r w:rsidRPr="000653B0">
        <w:rPr>
          <w:rFonts w:ascii="Arial" w:hAnsi="Arial" w:cs="Arial"/>
        </w:rPr>
        <w:t xml:space="preserve"> in RAN WG1 Meeting AH 1801 the following agreement was achieved</w:t>
      </w:r>
    </w:p>
    <w:p w14:paraId="7AB35455" w14:textId="77777777" w:rsidR="00BB4F4D" w:rsidRPr="000653B0" w:rsidRDefault="00BB4F4D" w:rsidP="00BB4F4D">
      <w:pPr>
        <w:rPr>
          <w:rFonts w:ascii="Arial" w:hAnsi="Arial" w:cs="Arial"/>
          <w:lang w:eastAsia="x-none"/>
        </w:rPr>
      </w:pPr>
      <w:r w:rsidRPr="000653B0">
        <w:rPr>
          <w:rFonts w:ascii="Arial" w:hAnsi="Arial" w:cs="Arial"/>
          <w:highlight w:val="green"/>
          <w:lang w:eastAsia="x-none"/>
        </w:rPr>
        <w:t>Agreements</w:t>
      </w:r>
      <w:r w:rsidRPr="000653B0">
        <w:rPr>
          <w:rFonts w:ascii="Arial" w:hAnsi="Arial" w:cs="Arial"/>
          <w:lang w:eastAsia="x-none"/>
        </w:rPr>
        <w:t>:</w:t>
      </w:r>
    </w:p>
    <w:p w14:paraId="4CB74C8B" w14:textId="77777777" w:rsidR="00BB4F4D" w:rsidRPr="000653B0" w:rsidRDefault="00BB4F4D" w:rsidP="00BB4F4D">
      <w:pPr>
        <w:pStyle w:val="Caption"/>
        <w:numPr>
          <w:ilvl w:val="0"/>
          <w:numId w:val="25"/>
        </w:numPr>
        <w:overflowPunct/>
        <w:autoSpaceDE/>
        <w:autoSpaceDN/>
        <w:adjustRightInd/>
        <w:textAlignment w:val="auto"/>
        <w:rPr>
          <w:rFonts w:ascii="Arial" w:eastAsia="SimSun" w:hAnsi="Arial" w:cs="Arial"/>
          <w:b w:val="0"/>
        </w:rPr>
      </w:pPr>
      <w:r w:rsidRPr="000653B0">
        <w:rPr>
          <w:rFonts w:ascii="Arial" w:eastAsia="SimSun" w:hAnsi="Arial" w:cs="Arial"/>
          <w:b w:val="0"/>
        </w:rPr>
        <w:t>Support 4 as additional PI monitoring periodicity value as part of the RRC configuration for the UE</w:t>
      </w:r>
    </w:p>
    <w:p w14:paraId="2F006084" w14:textId="77777777" w:rsidR="00BB4F4D" w:rsidRPr="000653B0" w:rsidRDefault="00BB4F4D" w:rsidP="00BB4F4D">
      <w:pPr>
        <w:pStyle w:val="Caption"/>
        <w:numPr>
          <w:ilvl w:val="1"/>
          <w:numId w:val="25"/>
        </w:numPr>
        <w:overflowPunct/>
        <w:autoSpaceDE/>
        <w:autoSpaceDN/>
        <w:adjustRightInd/>
        <w:textAlignment w:val="auto"/>
        <w:rPr>
          <w:rFonts w:ascii="Arial" w:eastAsia="SimSun" w:hAnsi="Arial" w:cs="Arial"/>
          <w:b w:val="0"/>
        </w:rPr>
      </w:pPr>
      <w:r w:rsidRPr="000653B0">
        <w:rPr>
          <w:rFonts w:ascii="Arial" w:eastAsia="SimSun" w:hAnsi="Arial" w:cs="Arial"/>
          <w:b w:val="0"/>
        </w:rPr>
        <w:t>No other additional values in Rel-15</w:t>
      </w:r>
    </w:p>
    <w:p w14:paraId="3C8370A2" w14:textId="77777777" w:rsidR="00BB4F4D" w:rsidRPr="000653B0" w:rsidRDefault="00BB4F4D" w:rsidP="00BB4F4D">
      <w:pPr>
        <w:spacing w:after="40"/>
        <w:rPr>
          <w:rFonts w:ascii="Arial" w:hAnsi="Arial" w:cs="Arial"/>
        </w:rPr>
      </w:pPr>
      <w:proofErr w:type="gramStart"/>
      <w:r w:rsidRPr="000653B0">
        <w:rPr>
          <w:rFonts w:ascii="Arial" w:hAnsi="Arial" w:cs="Arial"/>
        </w:rPr>
        <w:t>Finally</w:t>
      </w:r>
      <w:proofErr w:type="gramEnd"/>
      <w:r w:rsidRPr="000653B0">
        <w:rPr>
          <w:rFonts w:ascii="Arial" w:hAnsi="Arial" w:cs="Arial"/>
        </w:rPr>
        <w:t xml:space="preserve"> in RAN1#92 it was agreed that:</w:t>
      </w:r>
    </w:p>
    <w:p w14:paraId="1984D809" w14:textId="77777777" w:rsidR="00BB4F4D" w:rsidRPr="000653B0" w:rsidRDefault="00BB4F4D" w:rsidP="00BB4F4D">
      <w:pPr>
        <w:rPr>
          <w:rFonts w:ascii="Arial" w:hAnsi="Arial" w:cs="Arial"/>
          <w:lang w:eastAsia="x-none"/>
        </w:rPr>
      </w:pPr>
      <w:r w:rsidRPr="000653B0">
        <w:rPr>
          <w:rFonts w:ascii="Arial" w:hAnsi="Arial" w:cs="Arial"/>
          <w:highlight w:val="green"/>
          <w:lang w:eastAsia="x-none"/>
        </w:rPr>
        <w:t>Agreements</w:t>
      </w:r>
      <w:r w:rsidRPr="000653B0">
        <w:rPr>
          <w:rFonts w:ascii="Arial" w:hAnsi="Arial" w:cs="Arial"/>
          <w:lang w:eastAsia="x-none"/>
        </w:rPr>
        <w:t>:</w:t>
      </w:r>
    </w:p>
    <w:p w14:paraId="18609B4D" w14:textId="77777777" w:rsidR="00BB4F4D" w:rsidRPr="000653B0" w:rsidRDefault="00BB4F4D" w:rsidP="00BB4F4D">
      <w:pPr>
        <w:pStyle w:val="Caption"/>
        <w:numPr>
          <w:ilvl w:val="0"/>
          <w:numId w:val="28"/>
        </w:numPr>
        <w:overflowPunct/>
        <w:autoSpaceDE/>
        <w:autoSpaceDN/>
        <w:adjustRightInd/>
        <w:textAlignment w:val="auto"/>
        <w:rPr>
          <w:rFonts w:ascii="Arial" w:eastAsia="SimSun" w:hAnsi="Arial" w:cs="Arial"/>
          <w:lang w:eastAsia="zh-CN"/>
        </w:rPr>
      </w:pPr>
      <w:r w:rsidRPr="000653B0">
        <w:rPr>
          <w:rFonts w:ascii="Arial" w:eastAsia="SimSun" w:hAnsi="Arial" w:cs="Arial"/>
          <w:b w:val="0"/>
          <w:lang w:eastAsia="zh-CN"/>
        </w:rPr>
        <w:t xml:space="preserve">In case of cross carrier PI with different numerologies, UE is not expected to be configured such that </w:t>
      </w:r>
      <w:r w:rsidRPr="000653B0">
        <w:rPr>
          <w:rFonts w:ascii="Arial" w:eastAsia="SimSun" w:hAnsi="Arial" w:cs="Arial"/>
          <w:b w:val="0"/>
          <w:lang w:eastAsia="zh-CN"/>
        </w:rPr>
        <w:object w:dxaOrig="1840" w:dyaOrig="400" w14:anchorId="036F2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65pt;height:20.65pt" o:ole="">
            <v:imagedata r:id="rId8" o:title=""/>
          </v:shape>
          <o:OLEObject Type="Embed" ProgID="Equation.DSMT4" ShapeID="_x0000_i1025" DrawAspect="Content" ObjectID="_1587555763" r:id="rId9"/>
        </w:object>
      </w:r>
      <w:r w:rsidRPr="000653B0">
        <w:rPr>
          <w:rFonts w:ascii="Arial" w:eastAsia="SimSun" w:hAnsi="Arial" w:cs="Arial"/>
          <w:b w:val="0"/>
          <w:lang w:eastAsia="zh-CN"/>
        </w:rPr>
        <w:t>is not an integer number for the carrier being cross-carrier indicated</w:t>
      </w:r>
      <w:r w:rsidRPr="000653B0">
        <w:rPr>
          <w:rFonts w:ascii="Arial" w:eastAsia="SimSun" w:hAnsi="Arial" w:cs="Arial"/>
          <w:lang w:eastAsia="zh-CN"/>
        </w:rPr>
        <w:t>.</w:t>
      </w:r>
    </w:p>
    <w:p w14:paraId="6D9BA07B" w14:textId="77777777" w:rsidR="004000E8" w:rsidRPr="00CE0424" w:rsidRDefault="00230D18" w:rsidP="00CE0424">
      <w:pPr>
        <w:pStyle w:val="Heading1"/>
      </w:pPr>
      <w:bookmarkStart w:id="1" w:name="_Ref178064866"/>
      <w:r>
        <w:lastRenderedPageBreak/>
        <w:t>2</w:t>
      </w:r>
      <w:r>
        <w:tab/>
      </w:r>
      <w:r w:rsidR="004000E8" w:rsidRPr="00CE0424">
        <w:t>Discussion</w:t>
      </w:r>
      <w:bookmarkEnd w:id="1"/>
    </w:p>
    <w:p w14:paraId="0668891F" w14:textId="59971B6B" w:rsidR="00F63950" w:rsidRDefault="00230D18" w:rsidP="00CF0768">
      <w:pPr>
        <w:pStyle w:val="Heading2"/>
      </w:pPr>
      <w:r>
        <w:t>2.1</w:t>
      </w:r>
      <w:r>
        <w:tab/>
      </w:r>
      <w:r w:rsidR="00CF0768">
        <w:t>DCI for PI with multiple component carriers</w:t>
      </w:r>
    </w:p>
    <w:p w14:paraId="65388DC1" w14:textId="77777777" w:rsidR="004B6944" w:rsidRPr="003E1D39" w:rsidRDefault="004B6944" w:rsidP="000653B0">
      <w:pPr>
        <w:pStyle w:val="BodyText"/>
        <w:rPr>
          <w:b/>
          <w:bCs/>
        </w:rPr>
      </w:pPr>
      <w:r w:rsidRPr="003E1D39">
        <w:t xml:space="preserve">It has been agreed that cross carrier </w:t>
      </w:r>
      <w:proofErr w:type="spellStart"/>
      <w:r w:rsidRPr="003E1D39">
        <w:t>preemption</w:t>
      </w:r>
      <w:proofErr w:type="spellEnd"/>
      <w:r w:rsidRPr="003E1D39">
        <w:t xml:space="preserve"> indication is supported, i.e. </w:t>
      </w:r>
      <w:proofErr w:type="spellStart"/>
      <w:r w:rsidRPr="003E1D39">
        <w:t>preemption</w:t>
      </w:r>
      <w:proofErr w:type="spellEnd"/>
      <w:r w:rsidRPr="003E1D39">
        <w:t xml:space="preserve"> indication can refer to a </w:t>
      </w:r>
      <w:proofErr w:type="spellStart"/>
      <w:r w:rsidRPr="003E1D39">
        <w:t>preemption</w:t>
      </w:r>
      <w:proofErr w:type="spellEnd"/>
      <w:r w:rsidRPr="003E1D39">
        <w:t xml:space="preserve"> in own CC, or another CC. This means that  pre-</w:t>
      </w:r>
      <w:proofErr w:type="spellStart"/>
      <w:r w:rsidRPr="003E1D39">
        <w:t>emptiong</w:t>
      </w:r>
      <w:proofErr w:type="spellEnd"/>
      <w:r w:rsidRPr="003E1D39">
        <w:t xml:space="preserve"> indication field in DCI  should be able to indicate </w:t>
      </w:r>
      <w:proofErr w:type="spellStart"/>
      <w:r w:rsidRPr="003E1D39">
        <w:t>preemption</w:t>
      </w:r>
      <w:proofErr w:type="spellEnd"/>
      <w:r w:rsidRPr="003E1D39">
        <w:t xml:space="preserve"> on multiple  component carriers. However, it is not practical to have always 14 bits field per CC as the DCI size will vary too much and add difficulties for UE to detect. To address this issue, some mapping between </w:t>
      </w:r>
      <w:proofErr w:type="spellStart"/>
      <w:r w:rsidRPr="003E1D39">
        <w:t>preemption</w:t>
      </w:r>
      <w:proofErr w:type="spellEnd"/>
      <w:r w:rsidRPr="003E1D39">
        <w:t xml:space="preserve"> on multiple carriers, and the PI in the DCI can be considered.  </w:t>
      </w:r>
    </w:p>
    <w:p w14:paraId="45A30625" w14:textId="77777777" w:rsidR="004B6944" w:rsidRPr="003E1D39" w:rsidRDefault="004B6944" w:rsidP="000653B0">
      <w:pPr>
        <w:pStyle w:val="BodyText"/>
        <w:rPr>
          <w:b/>
          <w:bCs/>
        </w:rPr>
      </w:pPr>
      <w:r w:rsidRPr="003E1D39">
        <w:t>This can be done by for example by allowing different granularities for small and large number of component carrier</w:t>
      </w:r>
      <w:r w:rsidRPr="003E1D39">
        <w:rPr>
          <w:iCs/>
        </w:rPr>
        <w:t xml:space="preserve">. </w:t>
      </w:r>
      <w:proofErr w:type="gramStart"/>
      <w:r w:rsidRPr="003E1D39">
        <w:rPr>
          <w:iCs/>
        </w:rPr>
        <w:t>In order to</w:t>
      </w:r>
      <w:proofErr w:type="gramEnd"/>
      <w:r w:rsidRPr="003E1D39">
        <w:rPr>
          <w:iCs/>
        </w:rPr>
        <w:t xml:space="preserve"> fit within the total payload size of 126 bits, we can use a one to one mapping of component carrier and the </w:t>
      </w:r>
      <w:proofErr w:type="spellStart"/>
      <w:r w:rsidRPr="003E1D39">
        <w:rPr>
          <w:iCs/>
        </w:rPr>
        <w:t>preemption</w:t>
      </w:r>
      <w:proofErr w:type="spellEnd"/>
      <w:r w:rsidRPr="003E1D39">
        <w:rPr>
          <w:iCs/>
        </w:rPr>
        <w:t xml:space="preserve"> indication if the number of component carriers is small enough. But if the number of component carrier results in a large payload that does not fit into the allowed 126 indication payload, then the mapping can be done by bundling component carrier in the indication.</w:t>
      </w:r>
    </w:p>
    <w:p w14:paraId="1A2F9BE6" w14:textId="5876024E" w:rsidR="004B6944" w:rsidRPr="003E1D39" w:rsidRDefault="004B6944" w:rsidP="003E1D39">
      <w:pPr>
        <w:pStyle w:val="Proposal"/>
      </w:pPr>
      <w:r w:rsidRPr="003E1D39">
        <w:t xml:space="preserve">PI should be able to indicate </w:t>
      </w:r>
      <w:proofErr w:type="spellStart"/>
      <w:r w:rsidRPr="003E1D39">
        <w:t>preemption</w:t>
      </w:r>
      <w:proofErr w:type="spellEnd"/>
      <w:r w:rsidRPr="003E1D39">
        <w:t xml:space="preserve"> on multiple CCs</w:t>
      </w:r>
    </w:p>
    <w:p w14:paraId="43913A51" w14:textId="77777777" w:rsidR="004B6944" w:rsidRPr="004B6944" w:rsidRDefault="004B6944" w:rsidP="004B6944"/>
    <w:p w14:paraId="03BC9375" w14:textId="58B45D12" w:rsidR="00C473A5" w:rsidRDefault="003B64BB" w:rsidP="00536D09">
      <w:pPr>
        <w:pStyle w:val="B1"/>
        <w:sectPr w:rsidR="00C473A5" w:rsidSect="000653B0">
          <w:headerReference w:type="even" r:id="rId10"/>
          <w:footerReference w:type="default" r:id="rId11"/>
          <w:footnotePr>
            <w:numRestart w:val="eachSect"/>
          </w:footnotePr>
          <w:pgSz w:w="11907" w:h="16840" w:code="9"/>
          <w:pgMar w:top="1418" w:right="1134" w:bottom="1134" w:left="1134" w:header="680" w:footer="567" w:gutter="0"/>
          <w:cols w:space="720"/>
          <w:docGrid w:linePitch="272"/>
        </w:sectPr>
      </w:pPr>
      <w:r>
        <w:t xml:space="preserve"> </w:t>
      </w:r>
    </w:p>
    <w:p w14:paraId="7471ABD1" w14:textId="4DFE1E7C" w:rsidR="00C01F33" w:rsidRDefault="00C01F33" w:rsidP="00CE0424">
      <w:pPr>
        <w:pStyle w:val="Heading1"/>
      </w:pPr>
      <w:r w:rsidRPr="00CE0424">
        <w:lastRenderedPageBreak/>
        <w:t>Conclusion</w:t>
      </w:r>
    </w:p>
    <w:p w14:paraId="7630E66B" w14:textId="77777777" w:rsidR="00E41E9D" w:rsidRPr="00E41E9D" w:rsidRDefault="00E41E9D" w:rsidP="00E41E9D">
      <w:pPr>
        <w:rPr>
          <w:rFonts w:ascii="Arial" w:hAnsi="Arial" w:cs="Arial"/>
          <w:b/>
          <w:bCs/>
        </w:rPr>
      </w:pPr>
      <w:r w:rsidRPr="00E41E9D">
        <w:rPr>
          <w:rFonts w:ascii="Arial" w:hAnsi="Arial" w:cs="Arial"/>
        </w:rPr>
        <w:t>In this contribution, we made the following observations and proposals:</w:t>
      </w:r>
      <w:r w:rsidRPr="00E41E9D">
        <w:rPr>
          <w:rFonts w:ascii="Arial" w:hAnsi="Arial" w:cs="Arial"/>
          <w:b/>
          <w:bCs/>
        </w:rPr>
        <w:t xml:space="preserve"> </w:t>
      </w:r>
    </w:p>
    <w:p w14:paraId="3B10C2A6" w14:textId="2F5CF9EC" w:rsidR="00E50673" w:rsidRPr="003E1D39" w:rsidRDefault="00E50673" w:rsidP="004B433A">
      <w:pPr>
        <w:pStyle w:val="Proposal"/>
        <w:numPr>
          <w:ilvl w:val="0"/>
          <w:numId w:val="0"/>
        </w:numPr>
        <w:ind w:left="1701" w:hanging="1701"/>
      </w:pPr>
      <w:r w:rsidRPr="003E1D39">
        <w:t xml:space="preserve">Proposal </w:t>
      </w:r>
      <w:r w:rsidR="003E1D39">
        <w:t>1</w:t>
      </w:r>
      <w:r w:rsidRPr="003E1D39">
        <w:t xml:space="preserve">   </w:t>
      </w:r>
      <w:r w:rsidR="004B433A">
        <w:t xml:space="preserve">   </w:t>
      </w:r>
      <w:r w:rsidRPr="003E1D39">
        <w:t xml:space="preserve">PI should be able to indicate </w:t>
      </w:r>
      <w:proofErr w:type="spellStart"/>
      <w:r w:rsidRPr="003E1D39">
        <w:t>preemption</w:t>
      </w:r>
      <w:proofErr w:type="spellEnd"/>
      <w:r w:rsidRPr="003E1D39">
        <w:t xml:space="preserve"> on multiple CCs</w:t>
      </w:r>
    </w:p>
    <w:p w14:paraId="0596EFFD" w14:textId="77777777" w:rsidR="00C01F33" w:rsidRPr="00CE0424" w:rsidRDefault="00C01F33" w:rsidP="006E062C">
      <w:bookmarkStart w:id="2" w:name="_GoBack"/>
      <w:bookmarkEnd w:id="2"/>
    </w:p>
    <w:p w14:paraId="0A817BA1" w14:textId="77777777" w:rsidR="00F507D1" w:rsidRPr="00CE0424" w:rsidRDefault="00F507D1" w:rsidP="00CE0424">
      <w:pPr>
        <w:pStyle w:val="Heading1"/>
      </w:pPr>
      <w:bookmarkStart w:id="3" w:name="_In-sequence_SDU_delivery"/>
      <w:bookmarkEnd w:id="3"/>
      <w:r w:rsidRPr="00CE0424">
        <w:t>References</w:t>
      </w:r>
    </w:p>
    <w:p w14:paraId="6E28E1FC" w14:textId="77777777" w:rsidR="0045690D" w:rsidRPr="001B6A19" w:rsidRDefault="0045690D" w:rsidP="0045690D">
      <w:pPr>
        <w:pStyle w:val="Reference"/>
        <w:overflowPunct/>
        <w:autoSpaceDE/>
        <w:autoSpaceDN/>
        <w:adjustRightInd/>
        <w:spacing w:after="160" w:line="259" w:lineRule="auto"/>
        <w:jc w:val="left"/>
        <w:textAlignment w:val="auto"/>
      </w:pPr>
      <w:bookmarkStart w:id="4" w:name="_Ref498085948"/>
      <w:bookmarkStart w:id="5" w:name="_Ref174151459"/>
      <w:bookmarkStart w:id="6" w:name="_Ref189809556"/>
      <w:r w:rsidRPr="001B6A19">
        <w:t>Chairman’s notes of 3GPP TSG RAN WG1 #9</w:t>
      </w:r>
      <w:r>
        <w:t>2</w:t>
      </w:r>
      <w:bookmarkEnd w:id="4"/>
      <w:r w:rsidRPr="001B6A19">
        <w:t>.</w:t>
      </w:r>
    </w:p>
    <w:p w14:paraId="31726DDE" w14:textId="77777777" w:rsidR="0045690D" w:rsidRPr="001B6A19" w:rsidRDefault="0045690D" w:rsidP="0045690D">
      <w:pPr>
        <w:pStyle w:val="Reference"/>
        <w:overflowPunct/>
        <w:autoSpaceDE/>
        <w:autoSpaceDN/>
        <w:adjustRightInd/>
        <w:spacing w:after="160" w:line="259" w:lineRule="auto"/>
        <w:jc w:val="left"/>
        <w:textAlignment w:val="auto"/>
      </w:pPr>
      <w:bookmarkStart w:id="7" w:name="_Ref498505181"/>
      <w:bookmarkStart w:id="8" w:name="_Ref503428941"/>
      <w:r w:rsidRPr="001B6A19">
        <w:t xml:space="preserve">R1-1800976 </w:t>
      </w:r>
      <w:bookmarkEnd w:id="7"/>
      <w:r w:rsidRPr="001B6A19">
        <w:t>On soft-buffer handling for DL pre-emption, Ericsson, 3GPP TSG-RAN WG1 Meeting AH 1801, Vancouver, Canada, 22nd Jan- 26th Jan 2018</w:t>
      </w:r>
      <w:bookmarkEnd w:id="8"/>
    </w:p>
    <w:bookmarkEnd w:id="5"/>
    <w:bookmarkEnd w:id="6"/>
    <w:p w14:paraId="5ED1C3F2"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7D5C4" w14:textId="77777777" w:rsidR="00780D72" w:rsidRDefault="00780D72">
      <w:r>
        <w:separator/>
      </w:r>
    </w:p>
  </w:endnote>
  <w:endnote w:type="continuationSeparator" w:id="0">
    <w:p w14:paraId="2B7FC5DD" w14:textId="77777777" w:rsidR="00780D72" w:rsidRDefault="00780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E072F" w14:textId="71C5480F"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653B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653B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16BD9" w14:textId="77777777" w:rsidR="00780D72" w:rsidRDefault="00780D72">
      <w:r>
        <w:separator/>
      </w:r>
    </w:p>
  </w:footnote>
  <w:footnote w:type="continuationSeparator" w:id="0">
    <w:p w14:paraId="03C7D3AC" w14:textId="77777777" w:rsidR="00780D72" w:rsidRDefault="00780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F6B0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E843A2"/>
    <w:multiLevelType w:val="hybridMultilevel"/>
    <w:tmpl w:val="C9F689F2"/>
    <w:lvl w:ilvl="0" w:tplc="C79C2CE6">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7327BF"/>
    <w:multiLevelType w:val="hybridMultilevel"/>
    <w:tmpl w:val="10A4AEB4"/>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096B37"/>
    <w:multiLevelType w:val="hybridMultilevel"/>
    <w:tmpl w:val="844A9A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cs="Times New Roman" w:hint="default"/>
      </w:rPr>
    </w:lvl>
    <w:lvl w:ilvl="1" w:tplc="F7B6995A">
      <w:start w:val="64"/>
      <w:numFmt w:val="bullet"/>
      <w:lvlText w:val="–"/>
      <w:lvlJc w:val="left"/>
      <w:pPr>
        <w:tabs>
          <w:tab w:val="num" w:pos="1222"/>
        </w:tabs>
        <w:ind w:left="1222" w:hanging="360"/>
      </w:pPr>
      <w:rPr>
        <w:rFonts w:ascii="Arial" w:hAnsi="Arial" w:cs="Times New Roman" w:hint="default"/>
      </w:rPr>
    </w:lvl>
    <w:lvl w:ilvl="2" w:tplc="A25AD786">
      <w:start w:val="1"/>
      <w:numFmt w:val="bullet"/>
      <w:lvlText w:val="•"/>
      <w:lvlJc w:val="left"/>
      <w:pPr>
        <w:tabs>
          <w:tab w:val="num" w:pos="786"/>
        </w:tabs>
        <w:ind w:left="786" w:hanging="360"/>
      </w:pPr>
      <w:rPr>
        <w:rFonts w:ascii="Arial" w:hAnsi="Arial" w:cs="Times New Roman" w:hint="default"/>
      </w:rPr>
    </w:lvl>
    <w:lvl w:ilvl="3" w:tplc="D2B86A8E">
      <w:start w:val="1"/>
      <w:numFmt w:val="bullet"/>
      <w:lvlText w:val="•"/>
      <w:lvlJc w:val="left"/>
      <w:pPr>
        <w:tabs>
          <w:tab w:val="num" w:pos="786"/>
        </w:tabs>
        <w:ind w:left="786" w:hanging="360"/>
      </w:pPr>
      <w:rPr>
        <w:rFonts w:ascii="Arial" w:hAnsi="Arial" w:cs="Times New Roman" w:hint="default"/>
      </w:rPr>
    </w:lvl>
    <w:lvl w:ilvl="4" w:tplc="2EC24AB6">
      <w:start w:val="1"/>
      <w:numFmt w:val="bullet"/>
      <w:lvlText w:val="•"/>
      <w:lvlJc w:val="left"/>
      <w:pPr>
        <w:tabs>
          <w:tab w:val="num" w:pos="1636"/>
        </w:tabs>
        <w:ind w:left="1636" w:hanging="360"/>
      </w:pPr>
      <w:rPr>
        <w:rFonts w:ascii="Arial" w:hAnsi="Arial" w:cs="Times New Roman" w:hint="default"/>
      </w:rPr>
    </w:lvl>
    <w:lvl w:ilvl="5" w:tplc="B6B2645A">
      <w:start w:val="1"/>
      <w:numFmt w:val="bullet"/>
      <w:lvlText w:val="•"/>
      <w:lvlJc w:val="left"/>
      <w:pPr>
        <w:tabs>
          <w:tab w:val="num" w:pos="2203"/>
        </w:tabs>
        <w:ind w:left="2203" w:hanging="360"/>
      </w:pPr>
      <w:rPr>
        <w:rFonts w:ascii="Arial" w:hAnsi="Arial" w:cs="Times New Roman" w:hint="default"/>
      </w:rPr>
    </w:lvl>
    <w:lvl w:ilvl="6" w:tplc="34E0D6BC">
      <w:start w:val="1"/>
      <w:numFmt w:val="bullet"/>
      <w:lvlText w:val="•"/>
      <w:lvlJc w:val="left"/>
      <w:pPr>
        <w:tabs>
          <w:tab w:val="num" w:pos="2487"/>
        </w:tabs>
        <w:ind w:left="2487" w:hanging="360"/>
      </w:pPr>
      <w:rPr>
        <w:rFonts w:ascii="Arial" w:hAnsi="Arial" w:cs="Times New Roman" w:hint="default"/>
      </w:rPr>
    </w:lvl>
    <w:lvl w:ilvl="7" w:tplc="9AB47028">
      <w:start w:val="1"/>
      <w:numFmt w:val="bullet"/>
      <w:lvlText w:val="•"/>
      <w:lvlJc w:val="left"/>
      <w:pPr>
        <w:tabs>
          <w:tab w:val="num" w:pos="2912"/>
        </w:tabs>
        <w:ind w:left="2912" w:hanging="360"/>
      </w:pPr>
      <w:rPr>
        <w:rFonts w:ascii="Arial" w:hAnsi="Arial" w:cs="Times New Roman" w:hint="default"/>
      </w:rPr>
    </w:lvl>
    <w:lvl w:ilvl="8" w:tplc="324842C0">
      <w:start w:val="1"/>
      <w:numFmt w:val="bullet"/>
      <w:lvlText w:val="•"/>
      <w:lvlJc w:val="left"/>
      <w:pPr>
        <w:tabs>
          <w:tab w:val="num" w:pos="6262"/>
        </w:tabs>
        <w:ind w:left="6262" w:hanging="360"/>
      </w:pPr>
      <w:rPr>
        <w:rFonts w:ascii="Arial" w:hAnsi="Arial" w:cs="Times New Roman"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D3B7C8E"/>
    <w:multiLevelType w:val="hybridMultilevel"/>
    <w:tmpl w:val="5ACEF97C"/>
    <w:lvl w:ilvl="0" w:tplc="C79C2CE6">
      <w:start w:val="1"/>
      <w:numFmt w:val="bullet"/>
      <w:lvlText w:val="•"/>
      <w:lvlJc w:val="left"/>
      <w:pPr>
        <w:ind w:left="502" w:hanging="360"/>
      </w:pPr>
      <w:rPr>
        <w:rFonts w:ascii="Arial" w:hAnsi="Arial" w:hint="default"/>
      </w:rPr>
    </w:lvl>
    <w:lvl w:ilvl="1" w:tplc="04090003">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5" w15:restartNumberingAfterBreak="0">
    <w:nsid w:val="64B54002"/>
    <w:multiLevelType w:val="hybridMultilevel"/>
    <w:tmpl w:val="6088B78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1"/>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7"/>
  </w:num>
  <w:num w:numId="18">
    <w:abstractNumId w:val="8"/>
  </w:num>
  <w:num w:numId="19">
    <w:abstractNumId w:val="6"/>
  </w:num>
  <w:num w:numId="20">
    <w:abstractNumId w:val="27"/>
  </w:num>
  <w:num w:numId="21">
    <w:abstractNumId w:val="12"/>
  </w:num>
  <w:num w:numId="22">
    <w:abstractNumId w:val="26"/>
  </w:num>
  <w:num w:numId="23">
    <w:abstractNumId w:val="17"/>
  </w:num>
  <w:num w:numId="24">
    <w:abstractNumId w:val="22"/>
  </w:num>
  <w:num w:numId="25">
    <w:abstractNumId w:val="25"/>
  </w:num>
  <w:num w:numId="26">
    <w:abstractNumId w:val="24"/>
  </w:num>
  <w:num w:numId="27">
    <w:abstractNumId w:val="4"/>
  </w:num>
  <w:num w:numId="2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3B0"/>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2541"/>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6F8"/>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6EE2"/>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7C60"/>
    <w:rsid w:val="003E15FA"/>
    <w:rsid w:val="003E1D39"/>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690D"/>
    <w:rsid w:val="00457565"/>
    <w:rsid w:val="00457B71"/>
    <w:rsid w:val="004669E2"/>
    <w:rsid w:val="00470C31"/>
    <w:rsid w:val="00471DE0"/>
    <w:rsid w:val="004734D0"/>
    <w:rsid w:val="0047556B"/>
    <w:rsid w:val="00477768"/>
    <w:rsid w:val="00492BC5"/>
    <w:rsid w:val="004964F1"/>
    <w:rsid w:val="004A16BC"/>
    <w:rsid w:val="004A2B94"/>
    <w:rsid w:val="004B433A"/>
    <w:rsid w:val="004B694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6D0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5B6"/>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A10"/>
    <w:rsid w:val="006613A6"/>
    <w:rsid w:val="006627A2"/>
    <w:rsid w:val="006634E6"/>
    <w:rsid w:val="00664363"/>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643"/>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0D72"/>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732"/>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3A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0875"/>
    <w:rsid w:val="00A92879"/>
    <w:rsid w:val="00A9442A"/>
    <w:rsid w:val="00AA016F"/>
    <w:rsid w:val="00AA179F"/>
    <w:rsid w:val="00AA1ED6"/>
    <w:rsid w:val="00AA51D6"/>
    <w:rsid w:val="00AB0BC8"/>
    <w:rsid w:val="00AB11CA"/>
    <w:rsid w:val="00AB14D9"/>
    <w:rsid w:val="00AB185A"/>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4F4D"/>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0768"/>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278A"/>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1FB"/>
    <w:rsid w:val="00E17FA2"/>
    <w:rsid w:val="00E22330"/>
    <w:rsid w:val="00E30B5A"/>
    <w:rsid w:val="00E3123D"/>
    <w:rsid w:val="00E31461"/>
    <w:rsid w:val="00E31D43"/>
    <w:rsid w:val="00E32608"/>
    <w:rsid w:val="00E34188"/>
    <w:rsid w:val="00E34B6E"/>
    <w:rsid w:val="00E35559"/>
    <w:rsid w:val="00E3723A"/>
    <w:rsid w:val="00E37860"/>
    <w:rsid w:val="00E40AF3"/>
    <w:rsid w:val="00E41E9D"/>
    <w:rsid w:val="00E446F1"/>
    <w:rsid w:val="00E46886"/>
    <w:rsid w:val="00E47AEF"/>
    <w:rsid w:val="00E50673"/>
    <w:rsid w:val="00E53B75"/>
    <w:rsid w:val="00E54E3B"/>
    <w:rsid w:val="00E57565"/>
    <w:rsid w:val="00E57664"/>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020C"/>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45281"/>
  <w15:chartTrackingRefBased/>
  <w15:docId w15:val="{DBE3E216-DE0C-4562-A965-C3E8868BA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BB4F4D"/>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jiizhg\AppData\Local\Microsoft\Windows\Temporary%20Internet%20Files\Content.IE5\U1D5RUSF\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0B781-99BE-4F50-95DE-72CC1AC8C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TotalTime>
  <Pages>3</Pages>
  <Words>562</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3759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Cheng</cp:lastModifiedBy>
  <cp:revision>7</cp:revision>
  <cp:lastPrinted>2008-01-31T07:09:00Z</cp:lastPrinted>
  <dcterms:created xsi:type="dcterms:W3CDTF">2018-05-11T14:30:00Z</dcterms:created>
  <dcterms:modified xsi:type="dcterms:W3CDTF">2018-05-11T21:56:00Z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